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DC4A" w14:textId="77777777" w:rsidR="00D10FAB" w:rsidRPr="007A00F2" w:rsidRDefault="00D10FAB" w:rsidP="00D10FAB">
      <w:pPr>
        <w:pStyle w:val="Bezproreda"/>
        <w:rPr>
          <w:rFonts w:cstheme="minorHAnsi"/>
        </w:rPr>
      </w:pPr>
      <w:r w:rsidRPr="007A00F2">
        <w:rPr>
          <w:rFonts w:cstheme="minorHAnsi"/>
        </w:rPr>
        <w:t>REPUBLIKA HRVATSKA</w:t>
      </w:r>
    </w:p>
    <w:p w14:paraId="5DB0C126" w14:textId="77777777" w:rsidR="00D10FAB" w:rsidRPr="007A00F2" w:rsidRDefault="00D10FAB" w:rsidP="00D10FAB">
      <w:pPr>
        <w:pStyle w:val="Bezproreda"/>
        <w:rPr>
          <w:rFonts w:cstheme="minorHAnsi"/>
        </w:rPr>
      </w:pPr>
      <w:r w:rsidRPr="007A00F2">
        <w:rPr>
          <w:rFonts w:cstheme="minorHAnsi"/>
        </w:rPr>
        <w:t>DJEČJI VRTIĆ MASLAČAK</w:t>
      </w:r>
    </w:p>
    <w:p w14:paraId="60EEA678" w14:textId="01E6A1FE" w:rsidR="00D10FAB" w:rsidRPr="007A00F2" w:rsidRDefault="00740693" w:rsidP="00D10FAB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E75375D" w14:textId="66F99D5F" w:rsidR="00D10FAB" w:rsidRPr="007A00F2" w:rsidRDefault="00740693" w:rsidP="00D10FAB">
      <w:pPr>
        <w:pStyle w:val="Bezproreda"/>
        <w:rPr>
          <w:rFonts w:cstheme="minorHAnsi"/>
        </w:rPr>
      </w:pPr>
      <w:r w:rsidRPr="007A00F2">
        <w:rPr>
          <w:rFonts w:cstheme="minorHAnsi"/>
        </w:rPr>
        <w:t>43280 GAREŠNICA</w:t>
      </w:r>
    </w:p>
    <w:p w14:paraId="31D9C899" w14:textId="77777777" w:rsidR="00D10FAB" w:rsidRPr="007A00F2" w:rsidRDefault="00D10FAB" w:rsidP="00D10FAB">
      <w:pPr>
        <w:pStyle w:val="Bezproreda"/>
        <w:rPr>
          <w:rFonts w:cstheme="minorHAnsi"/>
        </w:rPr>
      </w:pPr>
    </w:p>
    <w:p w14:paraId="0AF158F2" w14:textId="062CEABD" w:rsidR="00D10FAB" w:rsidRPr="007A00F2" w:rsidRDefault="00316DEA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KLASA: 400-05/2</w:t>
      </w:r>
      <w:r w:rsidR="00740693">
        <w:rPr>
          <w:rFonts w:asciiTheme="minorHAnsi" w:hAnsiTheme="minorHAnsi" w:cstheme="minorHAnsi"/>
          <w:sz w:val="22"/>
          <w:szCs w:val="22"/>
        </w:rPr>
        <w:t>2</w:t>
      </w:r>
      <w:r w:rsidR="00D10FAB" w:rsidRPr="007A00F2">
        <w:rPr>
          <w:rFonts w:asciiTheme="minorHAnsi" w:hAnsiTheme="minorHAnsi" w:cstheme="minorHAnsi"/>
          <w:sz w:val="22"/>
          <w:szCs w:val="22"/>
        </w:rPr>
        <w:t>-01/1</w:t>
      </w:r>
    </w:p>
    <w:p w14:paraId="67EDFAB4" w14:textId="4225324F" w:rsidR="00D10FAB" w:rsidRPr="007A00F2" w:rsidRDefault="00316DEA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URBROJ: 2123</w:t>
      </w:r>
      <w:r w:rsidR="00740693">
        <w:rPr>
          <w:rFonts w:asciiTheme="minorHAnsi" w:hAnsiTheme="minorHAnsi" w:cstheme="minorHAnsi"/>
          <w:sz w:val="22"/>
          <w:szCs w:val="22"/>
        </w:rPr>
        <w:t>-</w:t>
      </w:r>
      <w:r w:rsidRPr="007A00F2">
        <w:rPr>
          <w:rFonts w:asciiTheme="minorHAnsi" w:hAnsiTheme="minorHAnsi" w:cstheme="minorHAnsi"/>
          <w:sz w:val="22"/>
          <w:szCs w:val="22"/>
        </w:rPr>
        <w:t>1-5-0</w:t>
      </w:r>
      <w:r w:rsidR="00740693">
        <w:rPr>
          <w:rFonts w:asciiTheme="minorHAnsi" w:hAnsiTheme="minorHAnsi" w:cstheme="minorHAnsi"/>
          <w:sz w:val="22"/>
          <w:szCs w:val="22"/>
        </w:rPr>
        <w:t>1</w:t>
      </w:r>
      <w:r w:rsidRPr="007A00F2">
        <w:rPr>
          <w:rFonts w:asciiTheme="minorHAnsi" w:hAnsiTheme="minorHAnsi" w:cstheme="minorHAnsi"/>
          <w:sz w:val="22"/>
          <w:szCs w:val="22"/>
        </w:rPr>
        <w:t>-2</w:t>
      </w:r>
      <w:r w:rsidR="000478E3">
        <w:rPr>
          <w:rFonts w:asciiTheme="minorHAnsi" w:hAnsiTheme="minorHAnsi" w:cstheme="minorHAnsi"/>
          <w:sz w:val="22"/>
          <w:szCs w:val="22"/>
        </w:rPr>
        <w:t>2</w:t>
      </w:r>
      <w:r w:rsidR="00672E51" w:rsidRPr="007A00F2">
        <w:rPr>
          <w:rFonts w:asciiTheme="minorHAnsi" w:hAnsiTheme="minorHAnsi" w:cstheme="minorHAnsi"/>
          <w:sz w:val="22"/>
          <w:szCs w:val="22"/>
        </w:rPr>
        <w:t>-2</w:t>
      </w:r>
    </w:p>
    <w:p w14:paraId="2FB7AD79" w14:textId="16C09EF5" w:rsidR="00D10FAB" w:rsidRPr="007A00F2" w:rsidRDefault="000478E3" w:rsidP="00D10F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Garešnica, 31</w:t>
      </w:r>
      <w:r w:rsidR="00966124" w:rsidRPr="007A00F2">
        <w:rPr>
          <w:rFonts w:asciiTheme="minorHAnsi" w:hAnsiTheme="minorHAnsi" w:cstheme="minorHAnsi"/>
          <w:sz w:val="22"/>
          <w:szCs w:val="22"/>
        </w:rPr>
        <w:t>. siječnja 202</w:t>
      </w:r>
      <w:r w:rsidR="00530B26">
        <w:rPr>
          <w:rFonts w:asciiTheme="minorHAnsi" w:hAnsiTheme="minorHAnsi" w:cstheme="minorHAnsi"/>
          <w:sz w:val="22"/>
          <w:szCs w:val="22"/>
        </w:rPr>
        <w:t>2</w:t>
      </w:r>
      <w:r w:rsidR="00D10FAB" w:rsidRPr="007A00F2">
        <w:rPr>
          <w:rFonts w:asciiTheme="minorHAnsi" w:hAnsiTheme="minorHAnsi" w:cstheme="minorHAnsi"/>
          <w:sz w:val="22"/>
          <w:szCs w:val="22"/>
        </w:rPr>
        <w:t xml:space="preserve">. </w:t>
      </w:r>
      <w:r w:rsidR="00740693">
        <w:rPr>
          <w:rFonts w:asciiTheme="minorHAnsi" w:hAnsiTheme="minorHAnsi" w:cstheme="minorHAnsi"/>
          <w:sz w:val="22"/>
          <w:szCs w:val="22"/>
        </w:rPr>
        <w:t>godine</w:t>
      </w:r>
    </w:p>
    <w:p w14:paraId="3486CBE1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3248572C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1C45040F" w14:textId="77777777" w:rsidR="00D10FAB" w:rsidRPr="007A00F2" w:rsidRDefault="00D10FAB" w:rsidP="00D10FA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>PREDMET: Bilješke uz godišnji izvještaj za razdoblje od</w:t>
      </w:r>
      <w:r w:rsidR="00606894">
        <w:rPr>
          <w:rFonts w:asciiTheme="minorHAnsi" w:hAnsiTheme="minorHAnsi" w:cstheme="minorHAnsi"/>
          <w:b/>
          <w:sz w:val="22"/>
          <w:szCs w:val="22"/>
        </w:rPr>
        <w:t xml:space="preserve"> 01.01.202</w:t>
      </w:r>
      <w:r w:rsidR="00E577B5">
        <w:rPr>
          <w:rFonts w:asciiTheme="minorHAnsi" w:hAnsiTheme="minorHAnsi" w:cstheme="minorHAnsi"/>
          <w:b/>
          <w:sz w:val="22"/>
          <w:szCs w:val="22"/>
        </w:rPr>
        <w:t>1</w:t>
      </w:r>
      <w:r w:rsidRPr="007A00F2">
        <w:rPr>
          <w:rFonts w:asciiTheme="minorHAnsi" w:hAnsiTheme="minorHAnsi" w:cstheme="minorHAnsi"/>
          <w:b/>
          <w:sz w:val="22"/>
          <w:szCs w:val="22"/>
        </w:rPr>
        <w:t>. do 31</w:t>
      </w:r>
      <w:r w:rsidRPr="007A00F2">
        <w:rPr>
          <w:rFonts w:asciiTheme="minorHAnsi" w:hAnsiTheme="minorHAnsi" w:cstheme="minorHAnsi"/>
          <w:sz w:val="22"/>
          <w:szCs w:val="22"/>
        </w:rPr>
        <w:t>.</w:t>
      </w:r>
      <w:r w:rsidR="00606894">
        <w:rPr>
          <w:rFonts w:asciiTheme="minorHAnsi" w:hAnsiTheme="minorHAnsi" w:cstheme="minorHAnsi"/>
          <w:b/>
          <w:sz w:val="22"/>
          <w:szCs w:val="22"/>
        </w:rPr>
        <w:t>12.202</w:t>
      </w:r>
      <w:r w:rsidR="00E577B5">
        <w:rPr>
          <w:rFonts w:asciiTheme="minorHAnsi" w:hAnsiTheme="minorHAnsi" w:cstheme="minorHAnsi"/>
          <w:b/>
          <w:sz w:val="22"/>
          <w:szCs w:val="22"/>
        </w:rPr>
        <w:t>1</w:t>
      </w:r>
      <w:r w:rsidRPr="007A00F2">
        <w:rPr>
          <w:rFonts w:asciiTheme="minorHAnsi" w:hAnsiTheme="minorHAnsi" w:cstheme="minorHAnsi"/>
          <w:b/>
          <w:sz w:val="22"/>
          <w:szCs w:val="22"/>
        </w:rPr>
        <w:t>. god.</w:t>
      </w:r>
    </w:p>
    <w:p w14:paraId="1EB97B75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4CC20055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4993ABFF" w14:textId="77777777" w:rsidR="00D10FAB" w:rsidRPr="007A00F2" w:rsidRDefault="00D10FAB" w:rsidP="00D10FAB">
      <w:pPr>
        <w:jc w:val="both"/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Grad Garešnica je osnivač i vlasnik Dječjeg vrtića Maslačak Garešnica. </w:t>
      </w:r>
    </w:p>
    <w:p w14:paraId="413A3DCA" w14:textId="77777777" w:rsidR="00B95073" w:rsidRPr="007A00F2" w:rsidRDefault="00D10FAB" w:rsidP="00D10FAB">
      <w:pPr>
        <w:jc w:val="both"/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Djelatnost vrtića  temelji se na rješenju Ministarstva kulture i prosvjete: </w:t>
      </w:r>
    </w:p>
    <w:p w14:paraId="7261344A" w14:textId="77777777" w:rsidR="00D10FAB" w:rsidRPr="007A00F2" w:rsidRDefault="00D10FAB" w:rsidP="00D10FAB">
      <w:pPr>
        <w:jc w:val="both"/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KLASA 023-03-04-01-79, URBROJ: 532-02-6/4-94.</w:t>
      </w:r>
    </w:p>
    <w:p w14:paraId="161FE6C8" w14:textId="77777777" w:rsidR="00D10FAB" w:rsidRPr="007A00F2" w:rsidRDefault="00D10FAB" w:rsidP="00D10F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E54FB6" w14:textId="77777777" w:rsidR="00D10FAB" w:rsidRPr="007A00F2" w:rsidRDefault="00D10FAB" w:rsidP="00D10FAB">
      <w:pPr>
        <w:rPr>
          <w:rFonts w:asciiTheme="minorHAnsi" w:hAnsiTheme="minorHAnsi" w:cstheme="minorHAnsi"/>
          <w:b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>Dječji vrtić djeluje na tri lokacije i to:</w:t>
      </w:r>
    </w:p>
    <w:p w14:paraId="582FD6C7" w14:textId="77777777" w:rsidR="00D10FAB" w:rsidRPr="007A00F2" w:rsidRDefault="00D10FAB" w:rsidP="00D10FAB">
      <w:pPr>
        <w:rPr>
          <w:rFonts w:asciiTheme="minorHAnsi" w:hAnsiTheme="minorHAnsi" w:cstheme="minorHAnsi"/>
          <w:b/>
          <w:sz w:val="22"/>
          <w:szCs w:val="22"/>
        </w:rPr>
      </w:pPr>
    </w:p>
    <w:p w14:paraId="3E4F6C15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>Garešnica</w:t>
      </w:r>
      <w:r w:rsidRPr="007A00F2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7A00F2">
        <w:rPr>
          <w:rFonts w:asciiTheme="minorHAnsi" w:hAnsiTheme="minorHAnsi" w:cstheme="minorHAnsi"/>
          <w:sz w:val="22"/>
          <w:szCs w:val="22"/>
        </w:rPr>
        <w:tab/>
        <w:t xml:space="preserve">broj polaznika        </w:t>
      </w:r>
      <w:r w:rsidR="00F30D14" w:rsidRPr="007A00F2">
        <w:rPr>
          <w:rFonts w:asciiTheme="minorHAnsi" w:hAnsiTheme="minorHAnsi" w:cstheme="minorHAnsi"/>
          <w:sz w:val="22"/>
          <w:szCs w:val="22"/>
        </w:rPr>
        <w:t xml:space="preserve">   </w:t>
      </w:r>
      <w:r w:rsidR="00912A68"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="00F30D14"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606894">
        <w:rPr>
          <w:rFonts w:asciiTheme="minorHAnsi" w:hAnsiTheme="minorHAnsi" w:cstheme="minorHAnsi"/>
          <w:sz w:val="22"/>
          <w:szCs w:val="22"/>
        </w:rPr>
        <w:t>1</w:t>
      </w:r>
      <w:r w:rsidR="00E577B5">
        <w:rPr>
          <w:rFonts w:asciiTheme="minorHAnsi" w:hAnsiTheme="minorHAnsi" w:cstheme="minorHAnsi"/>
          <w:sz w:val="22"/>
          <w:szCs w:val="22"/>
        </w:rPr>
        <w:t>72</w:t>
      </w:r>
    </w:p>
    <w:p w14:paraId="07F228AA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>Područni vrtić Gar. Brestovac</w:t>
      </w:r>
      <w:r w:rsidRPr="007A00F2">
        <w:rPr>
          <w:rFonts w:asciiTheme="minorHAnsi" w:hAnsiTheme="minorHAnsi" w:cstheme="minorHAnsi"/>
          <w:sz w:val="22"/>
          <w:szCs w:val="22"/>
        </w:rPr>
        <w:t xml:space="preserve">         </w:t>
      </w:r>
      <w:r w:rsidR="003074BF" w:rsidRPr="007A00F2">
        <w:rPr>
          <w:rFonts w:asciiTheme="minorHAnsi" w:hAnsiTheme="minorHAnsi" w:cstheme="minorHAnsi"/>
          <w:sz w:val="22"/>
          <w:szCs w:val="22"/>
        </w:rPr>
        <w:t>„</w:t>
      </w:r>
      <w:r w:rsidR="00F30D14" w:rsidRPr="007A00F2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="00912A68"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="00F30D14"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E577B5">
        <w:rPr>
          <w:rFonts w:asciiTheme="minorHAnsi" w:hAnsiTheme="minorHAnsi" w:cstheme="minorHAnsi"/>
          <w:sz w:val="22"/>
          <w:szCs w:val="22"/>
        </w:rPr>
        <w:t>50</w:t>
      </w:r>
    </w:p>
    <w:p w14:paraId="700EBCB9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>Područni vrtić Hercegovac</w:t>
      </w:r>
      <w:r w:rsidRPr="007A00F2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3074BF" w:rsidRPr="007A00F2">
        <w:rPr>
          <w:rFonts w:asciiTheme="minorHAnsi" w:hAnsiTheme="minorHAnsi" w:cstheme="minorHAnsi"/>
          <w:sz w:val="22"/>
          <w:szCs w:val="22"/>
        </w:rPr>
        <w:t>„</w:t>
      </w:r>
      <w:r w:rsidR="00F30D14" w:rsidRPr="007A00F2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7A00F2">
        <w:rPr>
          <w:rFonts w:asciiTheme="minorHAnsi" w:hAnsiTheme="minorHAnsi" w:cstheme="minorHAnsi"/>
          <w:sz w:val="22"/>
          <w:szCs w:val="22"/>
        </w:rPr>
        <w:t xml:space="preserve">  </w:t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E577B5">
        <w:rPr>
          <w:rFonts w:asciiTheme="minorHAnsi" w:hAnsiTheme="minorHAnsi" w:cstheme="minorHAnsi"/>
          <w:sz w:val="22"/>
          <w:szCs w:val="22"/>
        </w:rPr>
        <w:t>35</w:t>
      </w:r>
    </w:p>
    <w:p w14:paraId="006B038A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_______________________________________________    </w:t>
      </w:r>
    </w:p>
    <w:p w14:paraId="24738234" w14:textId="77777777" w:rsidR="00D10FAB" w:rsidRPr="007A00F2" w:rsidRDefault="00D10FAB" w:rsidP="00D10FAB">
      <w:pPr>
        <w:rPr>
          <w:rFonts w:asciiTheme="minorHAnsi" w:hAnsiTheme="minorHAnsi" w:cstheme="minorHAnsi"/>
          <w:b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 xml:space="preserve">Ukupno polaznika:                                              </w:t>
      </w:r>
      <w:r w:rsidRPr="007A00F2">
        <w:rPr>
          <w:rFonts w:asciiTheme="minorHAnsi" w:hAnsiTheme="minorHAnsi" w:cstheme="minorHAnsi"/>
          <w:b/>
          <w:sz w:val="22"/>
          <w:szCs w:val="22"/>
        </w:rPr>
        <w:tab/>
      </w:r>
      <w:r w:rsidR="00F30D14" w:rsidRPr="007A00F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D045F" w:rsidRPr="007A00F2">
        <w:rPr>
          <w:rFonts w:asciiTheme="minorHAnsi" w:hAnsiTheme="minorHAnsi" w:cstheme="minorHAnsi"/>
          <w:b/>
          <w:sz w:val="22"/>
          <w:szCs w:val="22"/>
        </w:rPr>
        <w:tab/>
      </w:r>
      <w:r w:rsidR="00E577B5">
        <w:rPr>
          <w:rFonts w:asciiTheme="minorHAnsi" w:hAnsiTheme="minorHAnsi" w:cstheme="minorHAnsi"/>
          <w:b/>
          <w:sz w:val="22"/>
          <w:szCs w:val="22"/>
        </w:rPr>
        <w:t>257</w:t>
      </w:r>
    </w:p>
    <w:p w14:paraId="7E56B9CA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==========================================                 </w:t>
      </w:r>
    </w:p>
    <w:p w14:paraId="602268DD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5143"/>
        <w:gridCol w:w="1372"/>
        <w:gridCol w:w="1912"/>
      </w:tblGrid>
      <w:tr w:rsidR="00985A16" w:rsidRPr="00081F6A" w14:paraId="3EBA0D8D" w14:textId="77777777" w:rsidTr="00985A16">
        <w:tc>
          <w:tcPr>
            <w:tcW w:w="862" w:type="dxa"/>
          </w:tcPr>
          <w:p w14:paraId="231DCCDD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Red.br</w:t>
            </w:r>
          </w:p>
        </w:tc>
        <w:tc>
          <w:tcPr>
            <w:tcW w:w="5143" w:type="dxa"/>
          </w:tcPr>
          <w:p w14:paraId="49490750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Naziv prihoda</w:t>
            </w:r>
          </w:p>
        </w:tc>
        <w:tc>
          <w:tcPr>
            <w:tcW w:w="1372" w:type="dxa"/>
            <w:vAlign w:val="center"/>
          </w:tcPr>
          <w:p w14:paraId="11AA576A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konto</w:t>
            </w:r>
          </w:p>
        </w:tc>
        <w:tc>
          <w:tcPr>
            <w:tcW w:w="1912" w:type="dxa"/>
          </w:tcPr>
          <w:p w14:paraId="4EE83EB2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iznos</w:t>
            </w:r>
          </w:p>
        </w:tc>
      </w:tr>
      <w:tr w:rsidR="00985A16" w:rsidRPr="00F0710D" w14:paraId="4A80656B" w14:textId="77777777" w:rsidTr="00985A16">
        <w:tc>
          <w:tcPr>
            <w:tcW w:w="862" w:type="dxa"/>
          </w:tcPr>
          <w:p w14:paraId="02A6C0BB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143" w:type="dxa"/>
          </w:tcPr>
          <w:p w14:paraId="523C65A1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Pomoć iz proračuna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koji im nije nadležan</w:t>
            </w:r>
          </w:p>
        </w:tc>
        <w:tc>
          <w:tcPr>
            <w:tcW w:w="1372" w:type="dxa"/>
            <w:vAlign w:val="center"/>
          </w:tcPr>
          <w:p w14:paraId="7213A4F5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1912" w:type="dxa"/>
          </w:tcPr>
          <w:p w14:paraId="76AC492E" w14:textId="77777777" w:rsidR="00985A16" w:rsidRPr="00F0710D" w:rsidRDefault="00E577B5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19.920</w:t>
            </w:r>
            <w:r w:rsidR="00985A16">
              <w:rPr>
                <w:rFonts w:asciiTheme="minorHAnsi" w:hAnsiTheme="minorHAnsi"/>
                <w:sz w:val="22"/>
                <w:szCs w:val="22"/>
              </w:rPr>
              <w:t>,0</w:t>
            </w:r>
            <w:r w:rsidR="00985A16" w:rsidRPr="00F0710D">
              <w:rPr>
                <w:rFonts w:asciiTheme="minorHAnsi" w:hAnsiTheme="minorHAnsi"/>
                <w:sz w:val="22"/>
                <w:szCs w:val="22"/>
              </w:rPr>
              <w:t>0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19BB039F" w14:textId="77777777" w:rsidTr="00985A16">
        <w:tc>
          <w:tcPr>
            <w:tcW w:w="862" w:type="dxa"/>
          </w:tcPr>
          <w:p w14:paraId="3ABF8F84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43" w:type="dxa"/>
          </w:tcPr>
          <w:p w14:paraId="61F18608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Prihodi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po posebnim propisima</w:t>
            </w:r>
          </w:p>
        </w:tc>
        <w:tc>
          <w:tcPr>
            <w:tcW w:w="1372" w:type="dxa"/>
            <w:vAlign w:val="center"/>
          </w:tcPr>
          <w:p w14:paraId="09AFBAE6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652</w:t>
            </w:r>
          </w:p>
        </w:tc>
        <w:tc>
          <w:tcPr>
            <w:tcW w:w="1912" w:type="dxa"/>
          </w:tcPr>
          <w:p w14:paraId="35A1C2CD" w14:textId="77777777" w:rsidR="00985A16" w:rsidRPr="00F0710D" w:rsidRDefault="00E577B5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1.410.309,90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6C9AC9EB" w14:textId="77777777" w:rsidTr="00985A16">
        <w:tc>
          <w:tcPr>
            <w:tcW w:w="862" w:type="dxa"/>
          </w:tcPr>
          <w:p w14:paraId="3686B9BD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43" w:type="dxa"/>
          </w:tcPr>
          <w:p w14:paraId="69904C5E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 xml:space="preserve">Prihodi iz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nadležnog 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>proračuna</w:t>
            </w:r>
          </w:p>
        </w:tc>
        <w:tc>
          <w:tcPr>
            <w:tcW w:w="1372" w:type="dxa"/>
            <w:vAlign w:val="center"/>
          </w:tcPr>
          <w:p w14:paraId="5FCEA1A4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671</w:t>
            </w:r>
          </w:p>
        </w:tc>
        <w:tc>
          <w:tcPr>
            <w:tcW w:w="1912" w:type="dxa"/>
          </w:tcPr>
          <w:p w14:paraId="151BF536" w14:textId="77777777" w:rsidR="00985A16" w:rsidRPr="00F0710D" w:rsidRDefault="00E577B5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6.839.031,81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081F6A" w14:paraId="36934324" w14:textId="77777777" w:rsidTr="00985A16">
        <w:tc>
          <w:tcPr>
            <w:tcW w:w="862" w:type="dxa"/>
          </w:tcPr>
          <w:p w14:paraId="09412A25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143" w:type="dxa"/>
          </w:tcPr>
          <w:p w14:paraId="23FA84F7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U k u p n o :</w:t>
            </w:r>
          </w:p>
        </w:tc>
        <w:tc>
          <w:tcPr>
            <w:tcW w:w="1372" w:type="dxa"/>
            <w:vAlign w:val="center"/>
          </w:tcPr>
          <w:p w14:paraId="5CCBC20F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12" w:type="dxa"/>
          </w:tcPr>
          <w:p w14:paraId="0FE09A7C" w14:textId="77777777" w:rsidR="00985A16" w:rsidRPr="00081F6A" w:rsidRDefault="00E577B5" w:rsidP="0002260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8.269.261,71</w:t>
            </w:r>
            <w:r w:rsidR="00985A16">
              <w:rPr>
                <w:rFonts w:asciiTheme="minorHAnsi" w:hAnsiTheme="minorHAnsi"/>
                <w:b/>
                <w:sz w:val="22"/>
                <w:szCs w:val="22"/>
              </w:rPr>
              <w:t xml:space="preserve"> Kn</w:t>
            </w:r>
          </w:p>
        </w:tc>
      </w:tr>
    </w:tbl>
    <w:p w14:paraId="4A83897B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333DFF83" w14:textId="77777777" w:rsidR="00D10FAB" w:rsidRPr="007A00F2" w:rsidRDefault="00985A16" w:rsidP="00D10F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 01.09.202</w:t>
      </w:r>
      <w:r w:rsidR="00E577B5">
        <w:rPr>
          <w:rFonts w:asciiTheme="minorHAnsi" w:hAnsiTheme="minorHAnsi" w:cstheme="minorHAnsi"/>
          <w:sz w:val="22"/>
          <w:szCs w:val="22"/>
        </w:rPr>
        <w:t>1</w:t>
      </w:r>
      <w:r w:rsidR="003074BF" w:rsidRPr="007A00F2">
        <w:rPr>
          <w:rFonts w:asciiTheme="minorHAnsi" w:hAnsiTheme="minorHAnsi" w:cstheme="minorHAnsi"/>
          <w:sz w:val="22"/>
          <w:szCs w:val="22"/>
        </w:rPr>
        <w:t>.</w:t>
      </w:r>
      <w:r w:rsidR="00A61B09"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="003074BF" w:rsidRPr="007A00F2">
        <w:rPr>
          <w:rFonts w:asciiTheme="minorHAnsi" w:hAnsiTheme="minorHAnsi" w:cstheme="minorHAnsi"/>
          <w:sz w:val="22"/>
          <w:szCs w:val="22"/>
        </w:rPr>
        <w:t>godine</w:t>
      </w:r>
      <w:r w:rsidR="00D10FAB" w:rsidRPr="007A00F2">
        <w:rPr>
          <w:rFonts w:asciiTheme="minorHAnsi" w:hAnsiTheme="minorHAnsi" w:cstheme="minorHAnsi"/>
          <w:sz w:val="22"/>
          <w:szCs w:val="22"/>
        </w:rPr>
        <w:t xml:space="preserve"> cijena vrtića po polazniku je:</w:t>
      </w:r>
    </w:p>
    <w:p w14:paraId="6C801788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0913BF89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1. jaslička skupina           </w:t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Pr="007A00F2">
        <w:rPr>
          <w:rFonts w:asciiTheme="minorHAnsi" w:hAnsiTheme="minorHAnsi" w:cstheme="minorHAnsi"/>
          <w:sz w:val="22"/>
          <w:szCs w:val="22"/>
        </w:rPr>
        <w:t>550,00</w:t>
      </w:r>
      <w:r w:rsidR="003074BF" w:rsidRPr="007A00F2">
        <w:rPr>
          <w:rFonts w:asciiTheme="minorHAnsi" w:hAnsiTheme="minorHAnsi" w:cstheme="minorHAnsi"/>
          <w:sz w:val="22"/>
          <w:szCs w:val="22"/>
        </w:rPr>
        <w:t xml:space="preserve"> kn</w:t>
      </w:r>
    </w:p>
    <w:p w14:paraId="55A79973" w14:textId="77777777" w:rsidR="00D10FAB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2. vrtićka skupina            </w:t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Pr="007A00F2">
        <w:rPr>
          <w:rFonts w:asciiTheme="minorHAnsi" w:hAnsiTheme="minorHAnsi" w:cstheme="minorHAnsi"/>
          <w:sz w:val="22"/>
          <w:szCs w:val="22"/>
        </w:rPr>
        <w:t>500,00</w:t>
      </w:r>
      <w:r w:rsidR="003074BF" w:rsidRPr="007A00F2">
        <w:rPr>
          <w:rFonts w:asciiTheme="minorHAnsi" w:hAnsiTheme="minorHAnsi" w:cstheme="minorHAnsi"/>
          <w:sz w:val="22"/>
          <w:szCs w:val="22"/>
        </w:rPr>
        <w:t xml:space="preserve"> kn</w:t>
      </w:r>
    </w:p>
    <w:p w14:paraId="19B6B0D7" w14:textId="77777777" w:rsidR="007A00F2" w:rsidRPr="007A00F2" w:rsidRDefault="007A00F2" w:rsidP="007A00F2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Sve povlastice o popustu</w:t>
      </w:r>
      <w:r>
        <w:rPr>
          <w:rFonts w:asciiTheme="minorHAnsi" w:hAnsiTheme="minorHAnsi" w:cstheme="minorHAnsi"/>
          <w:sz w:val="22"/>
          <w:szCs w:val="22"/>
        </w:rPr>
        <w:t xml:space="preserve"> kod obračuna prisutnosti djece</w:t>
      </w:r>
      <w:r w:rsidRPr="007A00F2">
        <w:rPr>
          <w:rFonts w:asciiTheme="minorHAnsi" w:hAnsiTheme="minorHAnsi" w:cstheme="minorHAnsi"/>
          <w:sz w:val="22"/>
          <w:szCs w:val="22"/>
        </w:rPr>
        <w:t xml:space="preserve"> su poštivane.</w:t>
      </w:r>
    </w:p>
    <w:p w14:paraId="10AAD657" w14:textId="77777777" w:rsidR="007A00F2" w:rsidRPr="007A00F2" w:rsidRDefault="007A00F2" w:rsidP="00D10FAB">
      <w:pPr>
        <w:rPr>
          <w:rFonts w:asciiTheme="minorHAnsi" w:hAnsiTheme="minorHAnsi" w:cstheme="minorHAnsi"/>
          <w:sz w:val="22"/>
          <w:szCs w:val="22"/>
        </w:rPr>
      </w:pPr>
    </w:p>
    <w:p w14:paraId="04ED7DDC" w14:textId="77777777" w:rsidR="00D10FAB" w:rsidRPr="007A00F2" w:rsidRDefault="00D10FAB" w:rsidP="00D10FAB">
      <w:pPr>
        <w:rPr>
          <w:rFonts w:asciiTheme="minorHAnsi" w:hAnsiTheme="minorHAnsi" w:cstheme="minorHAnsi"/>
          <w:b/>
          <w:sz w:val="22"/>
          <w:szCs w:val="22"/>
        </w:rPr>
      </w:pPr>
    </w:p>
    <w:p w14:paraId="26020185" w14:textId="77777777" w:rsidR="00D10FAB" w:rsidRPr="007A00F2" w:rsidRDefault="00D10FAB" w:rsidP="00D10FA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5011"/>
        <w:gridCol w:w="1359"/>
        <w:gridCol w:w="1951"/>
      </w:tblGrid>
      <w:tr w:rsidR="00985A16" w:rsidRPr="00081F6A" w14:paraId="12EDE304" w14:textId="77777777" w:rsidTr="00985A16">
        <w:tc>
          <w:tcPr>
            <w:tcW w:w="968" w:type="dxa"/>
          </w:tcPr>
          <w:p w14:paraId="3600FF51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Red.br</w:t>
            </w:r>
          </w:p>
        </w:tc>
        <w:tc>
          <w:tcPr>
            <w:tcW w:w="5011" w:type="dxa"/>
          </w:tcPr>
          <w:p w14:paraId="5F4FA283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Naziv rashoda</w:t>
            </w:r>
          </w:p>
        </w:tc>
        <w:tc>
          <w:tcPr>
            <w:tcW w:w="1359" w:type="dxa"/>
            <w:vAlign w:val="center"/>
          </w:tcPr>
          <w:p w14:paraId="0D1A5E80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konto</w:t>
            </w:r>
          </w:p>
        </w:tc>
        <w:tc>
          <w:tcPr>
            <w:tcW w:w="1951" w:type="dxa"/>
            <w:vAlign w:val="center"/>
          </w:tcPr>
          <w:p w14:paraId="47A7FEFC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Iznos</w:t>
            </w:r>
          </w:p>
        </w:tc>
      </w:tr>
      <w:tr w:rsidR="00985A16" w:rsidRPr="00F0710D" w14:paraId="5CDEDD20" w14:textId="77777777" w:rsidTr="00985A16">
        <w:tc>
          <w:tcPr>
            <w:tcW w:w="968" w:type="dxa"/>
          </w:tcPr>
          <w:p w14:paraId="4B2ABF48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011" w:type="dxa"/>
          </w:tcPr>
          <w:p w14:paraId="41F91B27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Plaće bruto</w:t>
            </w:r>
          </w:p>
        </w:tc>
        <w:tc>
          <w:tcPr>
            <w:tcW w:w="1359" w:type="dxa"/>
            <w:vAlign w:val="center"/>
          </w:tcPr>
          <w:p w14:paraId="0C937386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311</w:t>
            </w:r>
          </w:p>
        </w:tc>
        <w:tc>
          <w:tcPr>
            <w:tcW w:w="1951" w:type="dxa"/>
          </w:tcPr>
          <w:p w14:paraId="0FC392AE" w14:textId="77777777" w:rsidR="00985A16" w:rsidRPr="00F0710D" w:rsidRDefault="00E577B5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5.276.617,06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611A344D" w14:textId="77777777" w:rsidTr="00985A16">
        <w:tc>
          <w:tcPr>
            <w:tcW w:w="968" w:type="dxa"/>
          </w:tcPr>
          <w:p w14:paraId="6CD5EC24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5011" w:type="dxa"/>
          </w:tcPr>
          <w:p w14:paraId="65D100E9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Ostali rashodi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za zaposlene</w:t>
            </w:r>
          </w:p>
        </w:tc>
        <w:tc>
          <w:tcPr>
            <w:tcW w:w="1359" w:type="dxa"/>
            <w:vAlign w:val="center"/>
          </w:tcPr>
          <w:p w14:paraId="1E1CD0C6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312</w:t>
            </w:r>
          </w:p>
        </w:tc>
        <w:tc>
          <w:tcPr>
            <w:tcW w:w="1951" w:type="dxa"/>
          </w:tcPr>
          <w:p w14:paraId="52820582" w14:textId="77777777" w:rsidR="00985A16" w:rsidRPr="00F0710D" w:rsidRDefault="00E577B5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430.050,21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62FF16B5" w14:textId="77777777" w:rsidTr="00985A16">
        <w:tc>
          <w:tcPr>
            <w:tcW w:w="968" w:type="dxa"/>
          </w:tcPr>
          <w:p w14:paraId="45555347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5011" w:type="dxa"/>
          </w:tcPr>
          <w:p w14:paraId="75689472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Doprinosi na plaće</w:t>
            </w:r>
          </w:p>
        </w:tc>
        <w:tc>
          <w:tcPr>
            <w:tcW w:w="1359" w:type="dxa"/>
            <w:vAlign w:val="center"/>
          </w:tcPr>
          <w:p w14:paraId="4813C875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313</w:t>
            </w:r>
          </w:p>
        </w:tc>
        <w:tc>
          <w:tcPr>
            <w:tcW w:w="1951" w:type="dxa"/>
          </w:tcPr>
          <w:p w14:paraId="39FE11D6" w14:textId="77777777" w:rsidR="00985A16" w:rsidRPr="00F0710D" w:rsidRDefault="00FA2378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801.528,56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51DC9A6F" w14:textId="77777777" w:rsidTr="00985A16">
        <w:tc>
          <w:tcPr>
            <w:tcW w:w="968" w:type="dxa"/>
          </w:tcPr>
          <w:p w14:paraId="6F170108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5011" w:type="dxa"/>
          </w:tcPr>
          <w:p w14:paraId="608F8398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Naknade troškova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zaposlenima</w:t>
            </w:r>
          </w:p>
        </w:tc>
        <w:tc>
          <w:tcPr>
            <w:tcW w:w="1359" w:type="dxa"/>
            <w:vAlign w:val="center"/>
          </w:tcPr>
          <w:p w14:paraId="7CB84970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321</w:t>
            </w:r>
          </w:p>
        </w:tc>
        <w:tc>
          <w:tcPr>
            <w:tcW w:w="1951" w:type="dxa"/>
          </w:tcPr>
          <w:p w14:paraId="44E64B1E" w14:textId="77777777" w:rsidR="00985A16" w:rsidRPr="00F0710D" w:rsidRDefault="00FA2378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168.972,69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73DAA39B" w14:textId="77777777" w:rsidTr="00985A16">
        <w:tc>
          <w:tcPr>
            <w:tcW w:w="968" w:type="dxa"/>
          </w:tcPr>
          <w:p w14:paraId="171D7AAE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5011" w:type="dxa"/>
          </w:tcPr>
          <w:p w14:paraId="60F81D55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Rashodi za materijal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i energiju</w:t>
            </w:r>
          </w:p>
        </w:tc>
        <w:tc>
          <w:tcPr>
            <w:tcW w:w="1359" w:type="dxa"/>
            <w:vAlign w:val="center"/>
          </w:tcPr>
          <w:p w14:paraId="298A2198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322</w:t>
            </w:r>
          </w:p>
        </w:tc>
        <w:tc>
          <w:tcPr>
            <w:tcW w:w="1951" w:type="dxa"/>
          </w:tcPr>
          <w:p w14:paraId="33378449" w14:textId="77777777" w:rsidR="00985A16" w:rsidRPr="00F0710D" w:rsidRDefault="00FA2378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1.147.361,73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0DE2C2C9" w14:textId="77777777" w:rsidTr="00985A16">
        <w:tc>
          <w:tcPr>
            <w:tcW w:w="968" w:type="dxa"/>
          </w:tcPr>
          <w:p w14:paraId="25C36F44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5011" w:type="dxa"/>
          </w:tcPr>
          <w:p w14:paraId="55904437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Ras</w:t>
            </w:r>
            <w:r>
              <w:rPr>
                <w:rFonts w:asciiTheme="minorHAnsi" w:hAnsiTheme="minorHAnsi"/>
                <w:sz w:val="22"/>
                <w:szCs w:val="22"/>
              </w:rPr>
              <w:t>hodi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za usluge</w:t>
            </w:r>
          </w:p>
        </w:tc>
        <w:tc>
          <w:tcPr>
            <w:tcW w:w="1359" w:type="dxa"/>
            <w:vAlign w:val="center"/>
          </w:tcPr>
          <w:p w14:paraId="1A95DAE2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323</w:t>
            </w:r>
          </w:p>
        </w:tc>
        <w:tc>
          <w:tcPr>
            <w:tcW w:w="1951" w:type="dxa"/>
          </w:tcPr>
          <w:p w14:paraId="01FACEF8" w14:textId="77777777" w:rsidR="00985A16" w:rsidRPr="00F0710D" w:rsidRDefault="00FA2378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253.090,36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30F2A76D" w14:textId="77777777" w:rsidTr="00985A16">
        <w:tc>
          <w:tcPr>
            <w:tcW w:w="968" w:type="dxa"/>
          </w:tcPr>
          <w:p w14:paraId="4F573F76" w14:textId="77777777" w:rsidR="00985A16" w:rsidRPr="00F0710D" w:rsidRDefault="00FA2378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985A16"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011" w:type="dxa"/>
          </w:tcPr>
          <w:p w14:paraId="612A6350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Ostali nespomenuti rashodi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poslovanja</w:t>
            </w:r>
          </w:p>
        </w:tc>
        <w:tc>
          <w:tcPr>
            <w:tcW w:w="1359" w:type="dxa"/>
            <w:vAlign w:val="center"/>
          </w:tcPr>
          <w:p w14:paraId="3230DEE9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329</w:t>
            </w:r>
          </w:p>
        </w:tc>
        <w:tc>
          <w:tcPr>
            <w:tcW w:w="1951" w:type="dxa"/>
          </w:tcPr>
          <w:p w14:paraId="17E46B3C" w14:textId="77777777" w:rsidR="00985A16" w:rsidRPr="00F0710D" w:rsidRDefault="00FA2378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38.726,11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  <w:r w:rsidR="00985A16" w:rsidRPr="00F0710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85A16" w:rsidRPr="00F0710D" w14:paraId="08E48FD9" w14:textId="77777777" w:rsidTr="00985A16">
        <w:tc>
          <w:tcPr>
            <w:tcW w:w="968" w:type="dxa"/>
          </w:tcPr>
          <w:p w14:paraId="680DD723" w14:textId="77777777" w:rsidR="00985A16" w:rsidRPr="00F0710D" w:rsidRDefault="00FA2378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985A16"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011" w:type="dxa"/>
          </w:tcPr>
          <w:p w14:paraId="7603520C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Postrojenje i oprema</w:t>
            </w:r>
          </w:p>
        </w:tc>
        <w:tc>
          <w:tcPr>
            <w:tcW w:w="1359" w:type="dxa"/>
            <w:vAlign w:val="center"/>
          </w:tcPr>
          <w:p w14:paraId="786F8B9E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422</w:t>
            </w:r>
          </w:p>
        </w:tc>
        <w:tc>
          <w:tcPr>
            <w:tcW w:w="1951" w:type="dxa"/>
          </w:tcPr>
          <w:p w14:paraId="6A4C36F0" w14:textId="77777777" w:rsidR="00985A16" w:rsidRPr="00F0710D" w:rsidRDefault="00FA2378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152.795,86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081F6A" w14:paraId="77185B94" w14:textId="77777777" w:rsidTr="00985A16">
        <w:tc>
          <w:tcPr>
            <w:tcW w:w="968" w:type="dxa"/>
          </w:tcPr>
          <w:p w14:paraId="436F3892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11" w:type="dxa"/>
          </w:tcPr>
          <w:p w14:paraId="1CDA107C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U k u p n o :</w:t>
            </w:r>
          </w:p>
        </w:tc>
        <w:tc>
          <w:tcPr>
            <w:tcW w:w="1359" w:type="dxa"/>
          </w:tcPr>
          <w:p w14:paraId="74B7178C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1" w:type="dxa"/>
          </w:tcPr>
          <w:p w14:paraId="2F0F4009" w14:textId="77777777" w:rsidR="00985A16" w:rsidRPr="00C82116" w:rsidRDefault="00FA2378" w:rsidP="0002260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8.269.142,58</w:t>
            </w:r>
            <w:r w:rsidR="00985A16" w:rsidRPr="00C82116">
              <w:rPr>
                <w:rFonts w:asciiTheme="minorHAnsi" w:hAnsiTheme="minorHAnsi"/>
                <w:b/>
                <w:sz w:val="22"/>
                <w:szCs w:val="22"/>
              </w:rPr>
              <w:t xml:space="preserve"> Kn</w:t>
            </w:r>
          </w:p>
        </w:tc>
      </w:tr>
    </w:tbl>
    <w:p w14:paraId="7C7E3373" w14:textId="77777777" w:rsidR="00267206" w:rsidRPr="007A00F2" w:rsidRDefault="00267206" w:rsidP="00D10FAB">
      <w:pPr>
        <w:rPr>
          <w:rFonts w:asciiTheme="minorHAnsi" w:hAnsiTheme="minorHAnsi" w:cstheme="minorHAnsi"/>
          <w:sz w:val="22"/>
          <w:szCs w:val="22"/>
        </w:rPr>
      </w:pPr>
    </w:p>
    <w:p w14:paraId="1088B831" w14:textId="77777777" w:rsidR="00267206" w:rsidRDefault="00267206" w:rsidP="00D10FAB">
      <w:pPr>
        <w:rPr>
          <w:rFonts w:asciiTheme="minorHAnsi" w:hAnsiTheme="minorHAnsi" w:cstheme="minorHAnsi"/>
          <w:sz w:val="22"/>
          <w:szCs w:val="22"/>
        </w:rPr>
      </w:pPr>
    </w:p>
    <w:p w14:paraId="680EFB8D" w14:textId="77777777" w:rsidR="00FA2378" w:rsidRPr="007A00F2" w:rsidRDefault="00FA2378" w:rsidP="00D10FA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C917AE" w:rsidRPr="0026123A" w14:paraId="0D676F33" w14:textId="77777777" w:rsidTr="00C917AE">
        <w:tc>
          <w:tcPr>
            <w:tcW w:w="9289" w:type="dxa"/>
            <w:vAlign w:val="center"/>
          </w:tcPr>
          <w:p w14:paraId="21D54291" w14:textId="77777777" w:rsidR="00C917AE" w:rsidRPr="0026123A" w:rsidRDefault="00C917AE" w:rsidP="00FA237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Prihodi od 01.01.202</w:t>
            </w:r>
            <w:r w:rsidR="00FA237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 do 31.12.202</w:t>
            </w:r>
            <w:r w:rsidR="00FA237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.                       </w:t>
            </w:r>
            <w:r w:rsidR="00FA2378">
              <w:rPr>
                <w:rFonts w:asciiTheme="minorHAnsi" w:hAnsiTheme="minorHAnsi"/>
                <w:b/>
                <w:sz w:val="22"/>
                <w:szCs w:val="22"/>
              </w:rPr>
              <w:t>8.269.261,71</w:t>
            </w:r>
            <w:r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D4B87">
              <w:rPr>
                <w:rFonts w:asciiTheme="minorHAnsi" w:hAnsiTheme="minorHAnsi"/>
                <w:b/>
                <w:sz w:val="22"/>
                <w:szCs w:val="22"/>
              </w:rPr>
              <w:t>Kn</w:t>
            </w:r>
            <w:r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</w:p>
        </w:tc>
      </w:tr>
      <w:tr w:rsidR="00C917AE" w:rsidRPr="0026123A" w14:paraId="29DE0038" w14:textId="77777777" w:rsidTr="00C917AE">
        <w:tc>
          <w:tcPr>
            <w:tcW w:w="9289" w:type="dxa"/>
            <w:vAlign w:val="center"/>
          </w:tcPr>
          <w:p w14:paraId="5421A5AF" w14:textId="77777777" w:rsidR="00C917AE" w:rsidRPr="0026123A" w:rsidRDefault="00C917AE" w:rsidP="00FA2378">
            <w:pPr>
              <w:pBdr>
                <w:bottom w:val="single" w:sz="12" w:space="1" w:color="auto"/>
              </w:pBd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Rashodi od 01.01.202</w:t>
            </w:r>
            <w:r w:rsidR="00FA237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 do 31.12.202</w:t>
            </w:r>
            <w:r w:rsidR="00FA237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.                  </w:t>
            </w:r>
            <w:r w:rsidR="006B0F5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FA2378">
              <w:rPr>
                <w:rFonts w:asciiTheme="minorHAnsi" w:hAnsiTheme="minorHAnsi"/>
                <w:b/>
                <w:sz w:val="22"/>
                <w:szCs w:val="22"/>
              </w:rPr>
              <w:t>8.269.142,58</w:t>
            </w:r>
            <w:r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D4B87">
              <w:rPr>
                <w:rFonts w:asciiTheme="minorHAnsi" w:hAnsiTheme="minorHAnsi"/>
                <w:b/>
                <w:sz w:val="22"/>
                <w:szCs w:val="22"/>
              </w:rPr>
              <w:t>Kn</w:t>
            </w:r>
            <w:r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</w:p>
        </w:tc>
      </w:tr>
      <w:tr w:rsidR="00C917AE" w:rsidRPr="0026123A" w14:paraId="5C171C39" w14:textId="77777777" w:rsidTr="00C917AE">
        <w:tc>
          <w:tcPr>
            <w:tcW w:w="9289" w:type="dxa"/>
            <w:vAlign w:val="center"/>
          </w:tcPr>
          <w:p w14:paraId="44BB2F6C" w14:textId="77777777" w:rsidR="00C917AE" w:rsidRPr="0026123A" w:rsidRDefault="00C917AE" w:rsidP="005A01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Razlika prihoda i rashoda u 202</w:t>
            </w:r>
            <w:r w:rsidR="005A014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Pr="0026123A">
              <w:rPr>
                <w:rFonts w:asciiTheme="minorHAnsi" w:hAnsiTheme="minorHAnsi"/>
                <w:b/>
                <w:sz w:val="22"/>
                <w:szCs w:val="22"/>
              </w:rPr>
              <w:t>. g.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</w:t>
            </w:r>
            <w:r w:rsidR="006B0F5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A0143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5A0143">
              <w:rPr>
                <w:rFonts w:asciiTheme="minorHAnsi" w:hAnsiTheme="minorHAnsi"/>
                <w:b/>
                <w:sz w:val="22"/>
                <w:szCs w:val="22"/>
              </w:rPr>
              <w:t>119,13</w:t>
            </w:r>
            <w:r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Kn</w:t>
            </w:r>
          </w:p>
        </w:tc>
      </w:tr>
      <w:tr w:rsidR="00C917AE" w:rsidRPr="0026123A" w14:paraId="616D7292" w14:textId="77777777" w:rsidTr="00C917AE">
        <w:tc>
          <w:tcPr>
            <w:tcW w:w="9289" w:type="dxa"/>
            <w:vAlign w:val="center"/>
          </w:tcPr>
          <w:p w14:paraId="7DA29650" w14:textId="77777777" w:rsidR="00C917AE" w:rsidRPr="0026123A" w:rsidRDefault="005A0143" w:rsidP="005A0143">
            <w:pPr>
              <w:pBdr>
                <w:bottom w:val="single" w:sz="12" w:space="1" w:color="auto"/>
              </w:pBd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Višak prihoda iz 2020</w:t>
            </w:r>
            <w:r w:rsidR="00C917AE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. g.                   </w:t>
            </w:r>
            <w:r w:rsidR="00C917AE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6B0F5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917AE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C917A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435,83</w:t>
            </w:r>
            <w:r w:rsidR="00C917A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917AE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Kn       </w:t>
            </w:r>
          </w:p>
        </w:tc>
      </w:tr>
      <w:tr w:rsidR="00C917AE" w:rsidRPr="0026123A" w14:paraId="7CA26DD1" w14:textId="77777777" w:rsidTr="00C917AE">
        <w:tc>
          <w:tcPr>
            <w:tcW w:w="9289" w:type="dxa"/>
            <w:vAlign w:val="center"/>
          </w:tcPr>
          <w:p w14:paraId="3ED14074" w14:textId="77777777" w:rsidR="00C917AE" w:rsidRPr="0026123A" w:rsidRDefault="005A0143" w:rsidP="005A01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Raspoloživo u sljedećem razdoblju</w:t>
            </w:r>
            <w:r w:rsidR="00C917AE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</w:t>
            </w:r>
            <w:r w:rsidR="006B0F5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917AE"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554,96</w:t>
            </w:r>
            <w:r w:rsidR="00C917AE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Kn          </w:t>
            </w:r>
          </w:p>
        </w:tc>
      </w:tr>
    </w:tbl>
    <w:p w14:paraId="7E5BD64B" w14:textId="77777777" w:rsidR="00D10FAB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243906B1" w14:textId="77777777" w:rsidR="007A00F2" w:rsidRPr="007A00F2" w:rsidRDefault="007A00F2" w:rsidP="007A00F2">
      <w:pPr>
        <w:tabs>
          <w:tab w:val="left" w:pos="3660"/>
        </w:tabs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Amortizacija na dugotrajnu imovinu obračunata je po propisu i prikazana u Bilanci stanja.</w:t>
      </w:r>
    </w:p>
    <w:p w14:paraId="3AC26920" w14:textId="77777777" w:rsidR="007A00F2" w:rsidRPr="007A00F2" w:rsidRDefault="007A00F2" w:rsidP="007A00F2">
      <w:pPr>
        <w:tabs>
          <w:tab w:val="left" w:pos="3660"/>
        </w:tabs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Sitni inventar otpisuje se 100% pri kupnji.</w:t>
      </w:r>
    </w:p>
    <w:p w14:paraId="4F47CCA3" w14:textId="77777777" w:rsidR="007A00F2" w:rsidRDefault="007A00F2" w:rsidP="00D10FAB">
      <w:pPr>
        <w:rPr>
          <w:rFonts w:asciiTheme="minorHAnsi" w:hAnsiTheme="minorHAnsi" w:cstheme="minorHAnsi"/>
          <w:sz w:val="22"/>
          <w:szCs w:val="22"/>
        </w:rPr>
      </w:pPr>
    </w:p>
    <w:p w14:paraId="10826528" w14:textId="77777777" w:rsidR="007A00F2" w:rsidRPr="007A00F2" w:rsidRDefault="007A00F2" w:rsidP="00D10FAB">
      <w:pPr>
        <w:rPr>
          <w:rFonts w:asciiTheme="minorHAnsi" w:hAnsiTheme="minorHAnsi" w:cstheme="minorHAnsi"/>
          <w:sz w:val="22"/>
          <w:szCs w:val="22"/>
        </w:rPr>
      </w:pPr>
    </w:p>
    <w:p w14:paraId="756F5E22" w14:textId="77777777" w:rsidR="007A00F2" w:rsidRDefault="007A00F2" w:rsidP="007A00F2">
      <w:pPr>
        <w:rPr>
          <w:rFonts w:asciiTheme="minorHAnsi" w:hAnsiTheme="minorHAnsi" w:cstheme="minorHAnsi"/>
          <w:b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>Obrazloženje obrazaca:</w:t>
      </w:r>
    </w:p>
    <w:p w14:paraId="4C7B3DCE" w14:textId="77777777" w:rsidR="007A00F2" w:rsidRPr="007A00F2" w:rsidRDefault="007A00F2" w:rsidP="007A00F2">
      <w:pPr>
        <w:rPr>
          <w:rFonts w:asciiTheme="minorHAnsi" w:hAnsiTheme="minorHAnsi" w:cstheme="minorHAnsi"/>
          <w:b/>
          <w:sz w:val="22"/>
          <w:szCs w:val="22"/>
        </w:rPr>
      </w:pPr>
    </w:p>
    <w:p w14:paraId="2EFEE0A1" w14:textId="77777777" w:rsidR="007A00F2" w:rsidRPr="007A00F2" w:rsidRDefault="007A00F2" w:rsidP="003B654F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>BIL:</w:t>
      </w:r>
    </w:p>
    <w:p w14:paraId="02FC3D56" w14:textId="77777777" w:rsidR="007A00F2" w:rsidRDefault="0020344E" w:rsidP="003B65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AOP 014(P</w:t>
      </w:r>
      <w:r w:rsidR="007A00F2" w:rsidRPr="007A00F2">
        <w:rPr>
          <w:rFonts w:asciiTheme="minorHAnsi" w:hAnsiTheme="minorHAnsi" w:cstheme="minorHAnsi"/>
          <w:sz w:val="22"/>
          <w:szCs w:val="22"/>
        </w:rPr>
        <w:t xml:space="preserve">ostrojenja i oprema) je povećan u iznosu od </w:t>
      </w:r>
      <w:r w:rsidR="00E216B9">
        <w:rPr>
          <w:rFonts w:asciiTheme="minorHAnsi" w:hAnsiTheme="minorHAnsi" w:cstheme="minorHAnsi"/>
          <w:sz w:val="22"/>
          <w:szCs w:val="22"/>
        </w:rPr>
        <w:t>76.023,00 kuna, povećanje je manje u odnosu na 2020. godinu s obzirom da je većina opreme za redovan rad vrtića nabavljena tokom 2020. godine</w:t>
      </w:r>
      <w:r w:rsidR="007A00F2" w:rsidRPr="007A00F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C9AC3D" w14:textId="77777777" w:rsidR="00E216B9" w:rsidRPr="007A00F2" w:rsidRDefault="0020344E" w:rsidP="003B65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AOP 049(Sitan inventar u upotrebi) se povećao za </w:t>
      </w:r>
      <w:r w:rsidR="00E216B9">
        <w:rPr>
          <w:rFonts w:asciiTheme="minorHAnsi" w:hAnsiTheme="minorHAnsi" w:cstheme="minorHAnsi"/>
          <w:sz w:val="22"/>
          <w:szCs w:val="22"/>
        </w:rPr>
        <w:t>43.804,00</w:t>
      </w:r>
      <w:r>
        <w:rPr>
          <w:rFonts w:asciiTheme="minorHAnsi" w:hAnsiTheme="minorHAnsi" w:cstheme="minorHAnsi"/>
          <w:sz w:val="22"/>
          <w:szCs w:val="22"/>
        </w:rPr>
        <w:t xml:space="preserve"> kuna u odnosu na 20</w:t>
      </w:r>
      <w:r w:rsidR="00E216B9">
        <w:rPr>
          <w:rFonts w:asciiTheme="minorHAnsi" w:hAnsiTheme="minorHAnsi" w:cstheme="minorHAnsi"/>
          <w:sz w:val="22"/>
          <w:szCs w:val="22"/>
        </w:rPr>
        <w:t>20. godinu zbog potrebe za alatom i sličnim materijalima za redovno održavanje vrtića te nabavke didaktike za grupe u vrtićkim skupinama.</w:t>
      </w:r>
    </w:p>
    <w:p w14:paraId="50E16924" w14:textId="77777777" w:rsidR="007A00F2" w:rsidRPr="007A00F2" w:rsidRDefault="007A00F2" w:rsidP="003B65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728B77C5" w14:textId="77777777" w:rsidR="007A00F2" w:rsidRPr="007A00F2" w:rsidRDefault="007A00F2" w:rsidP="003B65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Dječji vrtić Maslačak nema ugovornih </w:t>
      </w:r>
      <w:proofErr w:type="spellStart"/>
      <w:r w:rsidRPr="007A00F2">
        <w:rPr>
          <w:rFonts w:asciiTheme="minorHAnsi" w:hAnsiTheme="minorHAnsi" w:cstheme="minorHAnsi"/>
          <w:sz w:val="22"/>
          <w:szCs w:val="22"/>
        </w:rPr>
        <w:t>izvanbilančnih</w:t>
      </w:r>
      <w:proofErr w:type="spellEnd"/>
      <w:r w:rsidRPr="007A00F2">
        <w:rPr>
          <w:rFonts w:asciiTheme="minorHAnsi" w:hAnsiTheme="minorHAnsi" w:cstheme="minorHAnsi"/>
          <w:sz w:val="22"/>
          <w:szCs w:val="22"/>
        </w:rPr>
        <w:t xml:space="preserve"> obveza, izdanih ili primljenih bjanko zadužnica i slično, koja mogu postati obveze ili prava.</w:t>
      </w:r>
    </w:p>
    <w:p w14:paraId="6B7EBDC5" w14:textId="77777777" w:rsidR="007A00F2" w:rsidRPr="007A00F2" w:rsidRDefault="007A00F2" w:rsidP="007A00F2">
      <w:pPr>
        <w:ind w:left="708"/>
        <w:rPr>
          <w:rFonts w:asciiTheme="minorHAnsi" w:hAnsiTheme="minorHAnsi" w:cstheme="minorHAnsi"/>
          <w:b/>
          <w:sz w:val="22"/>
          <w:szCs w:val="22"/>
        </w:rPr>
      </w:pPr>
    </w:p>
    <w:p w14:paraId="78431C7C" w14:textId="77777777" w:rsidR="007A00F2" w:rsidRPr="007A00F2" w:rsidRDefault="007A00F2" w:rsidP="007A00F2">
      <w:pPr>
        <w:ind w:left="708"/>
        <w:rPr>
          <w:rFonts w:asciiTheme="minorHAnsi" w:hAnsiTheme="minorHAnsi" w:cstheme="minorHAnsi"/>
          <w:b/>
          <w:sz w:val="22"/>
          <w:szCs w:val="22"/>
        </w:rPr>
      </w:pPr>
    </w:p>
    <w:p w14:paraId="41A8ACDE" w14:textId="77777777" w:rsidR="007A00F2" w:rsidRPr="007A00F2" w:rsidRDefault="007A00F2" w:rsidP="007A00F2">
      <w:pPr>
        <w:ind w:left="708"/>
        <w:rPr>
          <w:rFonts w:asciiTheme="minorHAnsi" w:hAnsiTheme="minorHAnsi" w:cstheme="minorHAnsi"/>
          <w:b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>PRRAS:</w:t>
      </w:r>
    </w:p>
    <w:p w14:paraId="7EFCA92B" w14:textId="77777777" w:rsidR="007A00F2" w:rsidRPr="007A00F2" w:rsidRDefault="007A00F2" w:rsidP="003B65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AOP 11</w:t>
      </w:r>
      <w:r w:rsidR="00192100">
        <w:rPr>
          <w:rFonts w:asciiTheme="minorHAnsi" w:hAnsiTheme="minorHAnsi" w:cstheme="minorHAnsi"/>
          <w:sz w:val="22"/>
          <w:szCs w:val="22"/>
        </w:rPr>
        <w:t>2</w:t>
      </w:r>
      <w:r w:rsidRPr="007A00F2">
        <w:rPr>
          <w:rFonts w:asciiTheme="minorHAnsi" w:hAnsiTheme="minorHAnsi" w:cstheme="minorHAnsi"/>
          <w:sz w:val="22"/>
          <w:szCs w:val="22"/>
        </w:rPr>
        <w:t xml:space="preserve">(Ostali nespomenuti prihodi) je </w:t>
      </w:r>
      <w:r w:rsidR="00192100">
        <w:rPr>
          <w:rFonts w:asciiTheme="minorHAnsi" w:hAnsiTheme="minorHAnsi" w:cstheme="minorHAnsi"/>
          <w:sz w:val="22"/>
          <w:szCs w:val="22"/>
        </w:rPr>
        <w:t>povećan</w:t>
      </w:r>
      <w:r w:rsidRPr="007A00F2">
        <w:rPr>
          <w:rFonts w:asciiTheme="minorHAnsi" w:hAnsiTheme="minorHAnsi" w:cstheme="minorHAnsi"/>
          <w:sz w:val="22"/>
          <w:szCs w:val="22"/>
        </w:rPr>
        <w:t xml:space="preserve"> u iznosu od </w:t>
      </w:r>
      <w:r w:rsidR="00192100">
        <w:rPr>
          <w:rFonts w:asciiTheme="minorHAnsi" w:hAnsiTheme="minorHAnsi" w:cstheme="minorHAnsi"/>
          <w:sz w:val="22"/>
          <w:szCs w:val="22"/>
        </w:rPr>
        <w:t>498.069 kuna iz razloga što 2021. godine nije bilo većih obustavljanja rada vrtića kao 2020. godine</w:t>
      </w:r>
      <w:r w:rsidR="00DF1DBB">
        <w:rPr>
          <w:rFonts w:asciiTheme="minorHAnsi" w:hAnsiTheme="minorHAnsi" w:cstheme="minorHAnsi"/>
          <w:sz w:val="22"/>
          <w:szCs w:val="22"/>
        </w:rPr>
        <w:t>.</w:t>
      </w:r>
      <w:r w:rsidR="00192100">
        <w:rPr>
          <w:rFonts w:asciiTheme="minorHAnsi" w:hAnsiTheme="minorHAnsi" w:cstheme="minorHAnsi"/>
          <w:sz w:val="22"/>
          <w:szCs w:val="22"/>
        </w:rPr>
        <w:t xml:space="preserve"> Uvedena je edukacija ranog učenja engleskog jezika koja se naplaćuje 130,00 kuna po djetetu mjesečno.</w:t>
      </w:r>
    </w:p>
    <w:p w14:paraId="3DF2E5BC" w14:textId="77777777" w:rsidR="007A00F2" w:rsidRPr="007A00F2" w:rsidRDefault="007A00F2" w:rsidP="003B65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AOP 13</w:t>
      </w:r>
      <w:r w:rsidR="00DA1D46">
        <w:rPr>
          <w:rFonts w:asciiTheme="minorHAnsi" w:hAnsiTheme="minorHAnsi" w:cstheme="minorHAnsi"/>
          <w:sz w:val="22"/>
          <w:szCs w:val="22"/>
        </w:rPr>
        <w:t>0</w:t>
      </w:r>
      <w:r w:rsidRPr="007A00F2">
        <w:rPr>
          <w:rFonts w:asciiTheme="minorHAnsi" w:hAnsiTheme="minorHAnsi" w:cstheme="minorHAnsi"/>
          <w:sz w:val="22"/>
          <w:szCs w:val="22"/>
        </w:rPr>
        <w:t xml:space="preserve">(Prihodi od nadležnog proračuna za financiranje rashoda poslovanja) je povećan za </w:t>
      </w:r>
      <w:r w:rsidR="00DA1D46">
        <w:rPr>
          <w:rFonts w:asciiTheme="minorHAnsi" w:hAnsiTheme="minorHAnsi" w:cstheme="minorHAnsi"/>
          <w:sz w:val="22"/>
          <w:szCs w:val="22"/>
        </w:rPr>
        <w:t>1.374</w:t>
      </w:r>
      <w:r w:rsidR="00A07C9F">
        <w:rPr>
          <w:rFonts w:asciiTheme="minorHAnsi" w:hAnsiTheme="minorHAnsi" w:cstheme="minorHAnsi"/>
          <w:sz w:val="22"/>
          <w:szCs w:val="22"/>
        </w:rPr>
        <w:t>.</w:t>
      </w:r>
      <w:r w:rsidR="00DA1D46">
        <w:rPr>
          <w:rFonts w:asciiTheme="minorHAnsi" w:hAnsiTheme="minorHAnsi" w:cstheme="minorHAnsi"/>
          <w:sz w:val="22"/>
          <w:szCs w:val="22"/>
        </w:rPr>
        <w:t>086</w:t>
      </w:r>
      <w:r w:rsidRPr="007A00F2">
        <w:rPr>
          <w:rFonts w:asciiTheme="minorHAnsi" w:hAnsiTheme="minorHAnsi" w:cstheme="minorHAnsi"/>
          <w:sz w:val="22"/>
          <w:szCs w:val="22"/>
        </w:rPr>
        <w:t xml:space="preserve"> kuna zbog </w:t>
      </w:r>
      <w:r w:rsidR="00DA1D46">
        <w:rPr>
          <w:rFonts w:asciiTheme="minorHAnsi" w:hAnsiTheme="minorHAnsi" w:cstheme="minorHAnsi"/>
          <w:sz w:val="22"/>
          <w:szCs w:val="22"/>
        </w:rPr>
        <w:t>povećanja plaća djelatnicima vrtića te povećanja ostalih rashoda zaposlenika</w:t>
      </w:r>
      <w:r w:rsidR="00DF1DBB">
        <w:rPr>
          <w:rFonts w:asciiTheme="minorHAnsi" w:hAnsiTheme="minorHAnsi" w:cstheme="minorHAnsi"/>
          <w:sz w:val="22"/>
          <w:szCs w:val="22"/>
        </w:rPr>
        <w:t>.</w:t>
      </w:r>
    </w:p>
    <w:p w14:paraId="2A6434BD" w14:textId="77777777" w:rsidR="007A00F2" w:rsidRDefault="007A00F2" w:rsidP="003B65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1480F86" w14:textId="77777777" w:rsidR="00FA74CA" w:rsidRPr="007A00F2" w:rsidRDefault="00FA74CA" w:rsidP="003B65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48871DB" w14:textId="77777777" w:rsidR="007A00F2" w:rsidRPr="007A00F2" w:rsidRDefault="007A00F2" w:rsidP="003B654F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>Obveze:</w:t>
      </w:r>
    </w:p>
    <w:p w14:paraId="2184A0CC" w14:textId="77777777" w:rsidR="007A00F2" w:rsidRPr="007A00F2" w:rsidRDefault="007A00F2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Iskazane obv</w:t>
      </w:r>
      <w:r w:rsidR="0039497F">
        <w:rPr>
          <w:rFonts w:asciiTheme="minorHAnsi" w:hAnsiTheme="minorHAnsi" w:cstheme="minorHAnsi"/>
          <w:sz w:val="22"/>
          <w:szCs w:val="22"/>
        </w:rPr>
        <w:t>eze sa danom 31.12.202</w:t>
      </w:r>
      <w:r w:rsidR="003B654F">
        <w:rPr>
          <w:rFonts w:asciiTheme="minorHAnsi" w:hAnsiTheme="minorHAnsi" w:cstheme="minorHAnsi"/>
          <w:sz w:val="22"/>
          <w:szCs w:val="22"/>
        </w:rPr>
        <w:t>1</w:t>
      </w:r>
      <w:r w:rsidRPr="007A00F2">
        <w:rPr>
          <w:rFonts w:asciiTheme="minorHAnsi" w:hAnsiTheme="minorHAnsi" w:cstheme="minorHAnsi"/>
          <w:sz w:val="22"/>
          <w:szCs w:val="22"/>
        </w:rPr>
        <w:t>. odnose se prvenstveno na plaće koje dospijevaju u siječnju i u po</w:t>
      </w:r>
      <w:r w:rsidR="003B654F">
        <w:rPr>
          <w:rFonts w:asciiTheme="minorHAnsi" w:hAnsiTheme="minorHAnsi" w:cstheme="minorHAnsi"/>
          <w:sz w:val="22"/>
          <w:szCs w:val="22"/>
        </w:rPr>
        <w:t>tpunosti su podmirene 10</w:t>
      </w:r>
      <w:r w:rsidR="0039497F">
        <w:rPr>
          <w:rFonts w:asciiTheme="minorHAnsi" w:hAnsiTheme="minorHAnsi" w:cstheme="minorHAnsi"/>
          <w:sz w:val="22"/>
          <w:szCs w:val="22"/>
        </w:rPr>
        <w:t>.01.202</w:t>
      </w:r>
      <w:r w:rsidR="003B654F">
        <w:rPr>
          <w:rFonts w:asciiTheme="minorHAnsi" w:hAnsiTheme="minorHAnsi" w:cstheme="minorHAnsi"/>
          <w:sz w:val="22"/>
          <w:szCs w:val="22"/>
        </w:rPr>
        <w:t>2</w:t>
      </w:r>
      <w:r w:rsidRPr="007A00F2">
        <w:rPr>
          <w:rFonts w:asciiTheme="minorHAnsi" w:hAnsiTheme="minorHAnsi" w:cstheme="minorHAnsi"/>
          <w:sz w:val="22"/>
          <w:szCs w:val="22"/>
        </w:rPr>
        <w:t xml:space="preserve">. godine te na materijalne i režijske troškove koji </w:t>
      </w:r>
      <w:r w:rsidR="001027ED">
        <w:rPr>
          <w:rFonts w:asciiTheme="minorHAnsi" w:hAnsiTheme="minorHAnsi" w:cstheme="minorHAnsi"/>
          <w:sz w:val="22"/>
          <w:szCs w:val="22"/>
        </w:rPr>
        <w:t>su podmireni u v</w:t>
      </w:r>
      <w:r w:rsidR="003B654F">
        <w:rPr>
          <w:rFonts w:asciiTheme="minorHAnsi" w:hAnsiTheme="minorHAnsi" w:cstheme="minorHAnsi"/>
          <w:sz w:val="22"/>
          <w:szCs w:val="22"/>
        </w:rPr>
        <w:t>aluti dospijeća u siječnju 2022</w:t>
      </w:r>
      <w:r w:rsidR="001027ED">
        <w:rPr>
          <w:rFonts w:asciiTheme="minorHAnsi" w:hAnsiTheme="minorHAnsi" w:cstheme="minorHAnsi"/>
          <w:sz w:val="22"/>
          <w:szCs w:val="22"/>
        </w:rPr>
        <w:t>.</w:t>
      </w:r>
    </w:p>
    <w:p w14:paraId="78197B76" w14:textId="77777777" w:rsidR="007A00F2" w:rsidRPr="007A00F2" w:rsidRDefault="007A00F2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4A25768" w14:textId="77777777" w:rsidR="007A00F2" w:rsidRPr="007A00F2" w:rsidRDefault="007A00F2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7A00F2">
        <w:rPr>
          <w:rFonts w:asciiTheme="minorHAnsi" w:hAnsiTheme="minorHAnsi" w:cstheme="minorHAnsi"/>
          <w:b/>
          <w:sz w:val="22"/>
          <w:szCs w:val="22"/>
        </w:rPr>
        <w:t>RasF</w:t>
      </w:r>
      <w:proofErr w:type="spellEnd"/>
      <w:r w:rsidRPr="007A00F2">
        <w:rPr>
          <w:rFonts w:asciiTheme="minorHAnsi" w:hAnsiTheme="minorHAnsi" w:cstheme="minorHAnsi"/>
          <w:b/>
          <w:sz w:val="22"/>
          <w:szCs w:val="22"/>
        </w:rPr>
        <w:t>:</w:t>
      </w:r>
    </w:p>
    <w:p w14:paraId="62FFD5DE" w14:textId="77777777" w:rsidR="007A00F2" w:rsidRPr="007A00F2" w:rsidRDefault="007A00F2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AOP112(Predškolsko obrazovanje) je povećan za </w:t>
      </w:r>
      <w:r w:rsidR="00A07C9F">
        <w:rPr>
          <w:rFonts w:asciiTheme="minorHAnsi" w:hAnsiTheme="minorHAnsi" w:cstheme="minorHAnsi"/>
          <w:sz w:val="22"/>
          <w:szCs w:val="22"/>
        </w:rPr>
        <w:t>1.</w:t>
      </w:r>
      <w:r w:rsidR="003B654F">
        <w:rPr>
          <w:rFonts w:asciiTheme="minorHAnsi" w:hAnsiTheme="minorHAnsi" w:cstheme="minorHAnsi"/>
          <w:sz w:val="22"/>
          <w:szCs w:val="22"/>
        </w:rPr>
        <w:t>610</w:t>
      </w:r>
      <w:r w:rsidR="00A07C9F">
        <w:rPr>
          <w:rFonts w:asciiTheme="minorHAnsi" w:hAnsiTheme="minorHAnsi" w:cstheme="minorHAnsi"/>
          <w:sz w:val="22"/>
          <w:szCs w:val="22"/>
        </w:rPr>
        <w:t>.</w:t>
      </w:r>
      <w:r w:rsidR="003B654F">
        <w:rPr>
          <w:rFonts w:asciiTheme="minorHAnsi" w:hAnsiTheme="minorHAnsi" w:cstheme="minorHAnsi"/>
          <w:sz w:val="22"/>
          <w:szCs w:val="22"/>
        </w:rPr>
        <w:t>887 kuna uz indeks povećanja od 24</w:t>
      </w:r>
      <w:r w:rsidRPr="007A00F2">
        <w:rPr>
          <w:rFonts w:asciiTheme="minorHAnsi" w:hAnsiTheme="minorHAnsi" w:cstheme="minorHAnsi"/>
          <w:sz w:val="22"/>
          <w:szCs w:val="22"/>
        </w:rPr>
        <w:t>%.</w:t>
      </w:r>
    </w:p>
    <w:p w14:paraId="0BBCA27C" w14:textId="77777777" w:rsidR="007A00F2" w:rsidRPr="007A00F2" w:rsidRDefault="007A00F2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EB213AF" w14:textId="77777777" w:rsidR="007A00F2" w:rsidRPr="007A00F2" w:rsidRDefault="007A00F2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>PVRIO:</w:t>
      </w:r>
    </w:p>
    <w:p w14:paraId="70AA19F5" w14:textId="77777777" w:rsidR="007A00F2" w:rsidRPr="007A00F2" w:rsidRDefault="007A00F2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S obzirom da za ovaj obrazac nisu ostvarene vrijednosti, isti se dostavlja prazan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8B2AFBC" w14:textId="77777777" w:rsidR="00D10FAB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0A0C9026" w14:textId="77777777" w:rsidR="007A00F2" w:rsidRPr="007A00F2" w:rsidRDefault="007A00F2" w:rsidP="00D10FAB">
      <w:pPr>
        <w:rPr>
          <w:rFonts w:asciiTheme="minorHAnsi" w:hAnsiTheme="minorHAnsi" w:cstheme="minorHAnsi"/>
          <w:sz w:val="22"/>
          <w:szCs w:val="22"/>
        </w:rPr>
      </w:pPr>
    </w:p>
    <w:p w14:paraId="1F02B4E8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45E2FD7A" w14:textId="1257F20D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r w:rsidRPr="007A00F2">
        <w:rPr>
          <w:rFonts w:asciiTheme="minorHAnsi" w:hAnsiTheme="minorHAnsi" w:cstheme="minorHAnsi"/>
          <w:sz w:val="22"/>
          <w:szCs w:val="22"/>
        </w:rPr>
        <w:tab/>
      </w:r>
      <w:r w:rsidRPr="007A00F2">
        <w:rPr>
          <w:rFonts w:asciiTheme="minorHAnsi" w:hAnsiTheme="minorHAnsi" w:cstheme="minorHAnsi"/>
          <w:sz w:val="22"/>
          <w:szCs w:val="22"/>
        </w:rPr>
        <w:tab/>
      </w:r>
      <w:r w:rsidRPr="007A00F2">
        <w:rPr>
          <w:rFonts w:asciiTheme="minorHAnsi" w:hAnsiTheme="minorHAnsi" w:cstheme="minorHAnsi"/>
          <w:sz w:val="22"/>
          <w:szCs w:val="22"/>
        </w:rPr>
        <w:tab/>
      </w:r>
      <w:r w:rsidR="0067684B" w:rsidRPr="007A00F2">
        <w:rPr>
          <w:rFonts w:asciiTheme="minorHAnsi" w:hAnsiTheme="minorHAnsi" w:cstheme="minorHAnsi"/>
          <w:sz w:val="22"/>
          <w:szCs w:val="22"/>
        </w:rPr>
        <w:t xml:space="preserve">       </w:t>
      </w:r>
      <w:r w:rsidRPr="007A00F2">
        <w:rPr>
          <w:rFonts w:asciiTheme="minorHAnsi" w:hAnsiTheme="minorHAnsi" w:cstheme="minorHAnsi"/>
          <w:sz w:val="22"/>
          <w:szCs w:val="22"/>
        </w:rPr>
        <w:t>RAVNATELJICA</w:t>
      </w:r>
    </w:p>
    <w:p w14:paraId="3022F8F4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48B574FE" w14:textId="7A2592D0" w:rsidR="00D10FAB" w:rsidRPr="007A00F2" w:rsidRDefault="00D10FAB" w:rsidP="00CB21B7">
      <w:pPr>
        <w:tabs>
          <w:tab w:val="left" w:pos="5484"/>
        </w:tabs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192100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12409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="00192100">
        <w:rPr>
          <w:rFonts w:asciiTheme="minorHAnsi" w:hAnsiTheme="minorHAnsi" w:cstheme="minorHAnsi"/>
          <w:sz w:val="22"/>
          <w:szCs w:val="22"/>
        </w:rPr>
        <w:t xml:space="preserve">Marinela </w:t>
      </w:r>
      <w:proofErr w:type="spellStart"/>
      <w:r w:rsidR="00192100">
        <w:rPr>
          <w:rFonts w:asciiTheme="minorHAnsi" w:hAnsiTheme="minorHAnsi" w:cstheme="minorHAnsi"/>
          <w:sz w:val="22"/>
          <w:szCs w:val="22"/>
        </w:rPr>
        <w:t>Kermeci</w:t>
      </w:r>
      <w:proofErr w:type="spellEnd"/>
      <w:r w:rsidR="0074069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40693">
        <w:rPr>
          <w:rFonts w:asciiTheme="minorHAnsi" w:hAnsiTheme="minorHAnsi" w:cstheme="minorHAnsi"/>
          <w:sz w:val="22"/>
          <w:szCs w:val="22"/>
        </w:rPr>
        <w:t>mag.praesc.educ</w:t>
      </w:r>
      <w:proofErr w:type="spellEnd"/>
      <w:r w:rsidR="00740693">
        <w:rPr>
          <w:rFonts w:asciiTheme="minorHAnsi" w:hAnsiTheme="minorHAnsi" w:cstheme="minorHAnsi"/>
          <w:sz w:val="22"/>
          <w:szCs w:val="22"/>
        </w:rPr>
        <w:t>.</w:t>
      </w:r>
      <w:r w:rsidR="00124090">
        <w:rPr>
          <w:rFonts w:asciiTheme="minorHAnsi" w:hAnsiTheme="minorHAnsi" w:cstheme="minorHAnsi"/>
          <w:sz w:val="22"/>
          <w:szCs w:val="22"/>
        </w:rPr>
        <w:t>, v.r.</w:t>
      </w:r>
    </w:p>
    <w:sectPr w:rsidR="00D10FAB" w:rsidRPr="007A00F2" w:rsidSect="00D300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57B7"/>
    <w:multiLevelType w:val="hybridMultilevel"/>
    <w:tmpl w:val="DA5EE3F6"/>
    <w:lvl w:ilvl="0" w:tplc="B5D8C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FAB"/>
    <w:rsid w:val="000363BC"/>
    <w:rsid w:val="000478E3"/>
    <w:rsid w:val="001027ED"/>
    <w:rsid w:val="00124090"/>
    <w:rsid w:val="001309A1"/>
    <w:rsid w:val="001379B3"/>
    <w:rsid w:val="001650ED"/>
    <w:rsid w:val="00192100"/>
    <w:rsid w:val="0020344E"/>
    <w:rsid w:val="0023001C"/>
    <w:rsid w:val="00230269"/>
    <w:rsid w:val="00267206"/>
    <w:rsid w:val="00284287"/>
    <w:rsid w:val="002D3351"/>
    <w:rsid w:val="002D724E"/>
    <w:rsid w:val="002E41AD"/>
    <w:rsid w:val="003074BF"/>
    <w:rsid w:val="00310D98"/>
    <w:rsid w:val="00316DEA"/>
    <w:rsid w:val="0039497F"/>
    <w:rsid w:val="003A4F24"/>
    <w:rsid w:val="003B654F"/>
    <w:rsid w:val="00406EA1"/>
    <w:rsid w:val="0042331B"/>
    <w:rsid w:val="004816D6"/>
    <w:rsid w:val="004F0933"/>
    <w:rsid w:val="005034A4"/>
    <w:rsid w:val="0051572C"/>
    <w:rsid w:val="00530B26"/>
    <w:rsid w:val="0055542F"/>
    <w:rsid w:val="0056319E"/>
    <w:rsid w:val="005A0143"/>
    <w:rsid w:val="00606894"/>
    <w:rsid w:val="00672E51"/>
    <w:rsid w:val="0067684B"/>
    <w:rsid w:val="006B0F50"/>
    <w:rsid w:val="006B3F6F"/>
    <w:rsid w:val="007140C7"/>
    <w:rsid w:val="007165A2"/>
    <w:rsid w:val="00733FAE"/>
    <w:rsid w:val="00740693"/>
    <w:rsid w:val="007876A2"/>
    <w:rsid w:val="007A00F2"/>
    <w:rsid w:val="007B6975"/>
    <w:rsid w:val="007C5045"/>
    <w:rsid w:val="008117F1"/>
    <w:rsid w:val="008160AD"/>
    <w:rsid w:val="00912A68"/>
    <w:rsid w:val="00966124"/>
    <w:rsid w:val="00971BB2"/>
    <w:rsid w:val="00973F66"/>
    <w:rsid w:val="00985A16"/>
    <w:rsid w:val="009D045F"/>
    <w:rsid w:val="00A07C9F"/>
    <w:rsid w:val="00A17C2E"/>
    <w:rsid w:val="00A24D2B"/>
    <w:rsid w:val="00A3175B"/>
    <w:rsid w:val="00A471DF"/>
    <w:rsid w:val="00A47C8E"/>
    <w:rsid w:val="00A61B09"/>
    <w:rsid w:val="00A975DD"/>
    <w:rsid w:val="00B95073"/>
    <w:rsid w:val="00BA2197"/>
    <w:rsid w:val="00BC206D"/>
    <w:rsid w:val="00BD2078"/>
    <w:rsid w:val="00C429D1"/>
    <w:rsid w:val="00C839B8"/>
    <w:rsid w:val="00C917AE"/>
    <w:rsid w:val="00CA4775"/>
    <w:rsid w:val="00CB21B7"/>
    <w:rsid w:val="00D028B5"/>
    <w:rsid w:val="00D10FAB"/>
    <w:rsid w:val="00D3007E"/>
    <w:rsid w:val="00D5150A"/>
    <w:rsid w:val="00D93B23"/>
    <w:rsid w:val="00DA1D46"/>
    <w:rsid w:val="00DA738C"/>
    <w:rsid w:val="00DE55C3"/>
    <w:rsid w:val="00DF1DBB"/>
    <w:rsid w:val="00E1024E"/>
    <w:rsid w:val="00E16D93"/>
    <w:rsid w:val="00E216B9"/>
    <w:rsid w:val="00E3394C"/>
    <w:rsid w:val="00E524B2"/>
    <w:rsid w:val="00E577B5"/>
    <w:rsid w:val="00F30D14"/>
    <w:rsid w:val="00F44D64"/>
    <w:rsid w:val="00F70EA5"/>
    <w:rsid w:val="00FA2378"/>
    <w:rsid w:val="00FA74CA"/>
    <w:rsid w:val="00FE0007"/>
    <w:rsid w:val="00FE3FA8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5A21"/>
  <w15:docId w15:val="{6A2B989D-34AE-4511-83FE-09C46B6C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FA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0FAB"/>
  </w:style>
  <w:style w:type="paragraph" w:styleId="Odlomakpopisa">
    <w:name w:val="List Paragraph"/>
    <w:basedOn w:val="Normal"/>
    <w:uiPriority w:val="34"/>
    <w:qFormat/>
    <w:rsid w:val="00D10FAB"/>
    <w:pPr>
      <w:ind w:left="720"/>
      <w:contextualSpacing/>
    </w:pPr>
  </w:style>
  <w:style w:type="table" w:styleId="Reetkatablice">
    <w:name w:val="Table Grid"/>
    <w:basedOn w:val="Obinatablica"/>
    <w:uiPriority w:val="59"/>
    <w:rsid w:val="00FE6311"/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Vacek</dc:creator>
  <cp:lastModifiedBy>Tomislav Severović</cp:lastModifiedBy>
  <cp:revision>2</cp:revision>
  <cp:lastPrinted>2020-01-31T10:29:00Z</cp:lastPrinted>
  <dcterms:created xsi:type="dcterms:W3CDTF">2022-02-09T12:26:00Z</dcterms:created>
  <dcterms:modified xsi:type="dcterms:W3CDTF">2022-02-09T12:26:00Z</dcterms:modified>
</cp:coreProperties>
</file>